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1A" w:rsidRPr="00787BF1" w:rsidRDefault="0071101A" w:rsidP="0071101A">
      <w:pPr>
        <w:pStyle w:val="Heading2"/>
      </w:pPr>
      <w:bookmarkStart w:id="0" w:name="_Toc155342857"/>
      <w:bookmarkStart w:id="1" w:name="_GoBack"/>
      <w:r w:rsidRPr="00787BF1">
        <w:rPr>
          <w:b/>
          <w:sz w:val="24"/>
        </w:rPr>
        <w:t>179. LUẬT ĐIỀU ƯỚC QUỐC TẾ</w:t>
      </w:r>
      <w:bookmarkEnd w:id="1"/>
      <w:r w:rsidRPr="00787BF1">
        <w:rPr>
          <w:bCs/>
          <w:sz w:val="24"/>
          <w:szCs w:val="24"/>
        </w:rPr>
        <w:t>,</w:t>
      </w:r>
      <w:r w:rsidRPr="00787BF1">
        <w:rPr>
          <w:b/>
          <w:bCs/>
        </w:rPr>
        <w:t xml:space="preserve"> </w:t>
      </w:r>
      <w:proofErr w:type="spellStart"/>
      <w:r w:rsidRPr="00787BF1">
        <w:t>một</w:t>
      </w:r>
      <w:proofErr w:type="spellEnd"/>
      <w:r w:rsidRPr="00787BF1">
        <w:t xml:space="preserve"> </w:t>
      </w:r>
      <w:proofErr w:type="spellStart"/>
      <w:r w:rsidRPr="00787BF1">
        <w:t>ngành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Luật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tế</w:t>
      </w:r>
      <w:proofErr w:type="spellEnd"/>
      <w:r w:rsidRPr="00787BF1">
        <w:t xml:space="preserve">,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 w:rsidRPr="00787BF1">
        <w:t>tổng</w:t>
      </w:r>
      <w:proofErr w:type="spellEnd"/>
      <w:r w:rsidRPr="00787BF1">
        <w:t xml:space="preserve"> </w:t>
      </w:r>
      <w:proofErr w:type="spellStart"/>
      <w:r w:rsidRPr="00787BF1">
        <w:t>hợp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nguyên</w:t>
      </w:r>
      <w:proofErr w:type="spellEnd"/>
      <w:r w:rsidRPr="00787BF1">
        <w:t xml:space="preserve"> </w:t>
      </w:r>
      <w:proofErr w:type="spellStart"/>
      <w:r w:rsidRPr="00787BF1">
        <w:t>tắc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quy</w:t>
      </w:r>
      <w:proofErr w:type="spellEnd"/>
      <w:r w:rsidRPr="00787BF1">
        <w:t xml:space="preserve"> </w:t>
      </w:r>
      <w:proofErr w:type="spellStart"/>
      <w:r w:rsidRPr="00787BF1">
        <w:t>phạm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luật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tế</w:t>
      </w:r>
      <w:proofErr w:type="spellEnd"/>
      <w:r w:rsidRPr="00787BF1">
        <w:t xml:space="preserve"> </w:t>
      </w:r>
      <w:proofErr w:type="spellStart"/>
      <w:r w:rsidRPr="00787BF1">
        <w:t>điều</w:t>
      </w:r>
      <w:proofErr w:type="spellEnd"/>
      <w:r w:rsidRPr="00787BF1">
        <w:t xml:space="preserve"> </w:t>
      </w:r>
      <w:proofErr w:type="spellStart"/>
      <w:r w:rsidRPr="00787BF1">
        <w:t>chỉnh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hệ</w:t>
      </w:r>
      <w:proofErr w:type="spellEnd"/>
      <w:r w:rsidRPr="00787BF1">
        <w:t xml:space="preserve"> </w:t>
      </w:r>
      <w:proofErr w:type="spellStart"/>
      <w:r w:rsidRPr="00787BF1">
        <w:t>giữa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gia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chủ</w:t>
      </w:r>
      <w:proofErr w:type="spellEnd"/>
      <w:r w:rsidRPr="00787BF1">
        <w:t xml:space="preserve"> </w:t>
      </w:r>
      <w:proofErr w:type="spellStart"/>
      <w:r w:rsidRPr="00787BF1">
        <w:t>thể</w:t>
      </w:r>
      <w:proofErr w:type="spellEnd"/>
      <w:r w:rsidRPr="00787BF1">
        <w:t xml:space="preserve"> </w:t>
      </w:r>
      <w:proofErr w:type="spellStart"/>
      <w:r w:rsidRPr="00787BF1">
        <w:t>khác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luật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tế</w:t>
      </w:r>
      <w:proofErr w:type="spellEnd"/>
      <w:r w:rsidRPr="00787BF1">
        <w:t xml:space="preserve"> </w:t>
      </w:r>
      <w:proofErr w:type="spellStart"/>
      <w:r w:rsidRPr="00787BF1">
        <w:t>về</w:t>
      </w:r>
      <w:proofErr w:type="spellEnd"/>
      <w:r w:rsidRPr="00787BF1">
        <w:t xml:space="preserve"> </w:t>
      </w:r>
      <w:proofErr w:type="spellStart"/>
      <w:r w:rsidRPr="00787BF1">
        <w:t>việc</w:t>
      </w:r>
      <w:proofErr w:type="spellEnd"/>
      <w:r w:rsidRPr="00787BF1">
        <w:t xml:space="preserve"> </w:t>
      </w:r>
      <w:proofErr w:type="spellStart"/>
      <w:r w:rsidRPr="00787BF1">
        <w:t>ký</w:t>
      </w:r>
      <w:proofErr w:type="spellEnd"/>
      <w:r w:rsidRPr="00787BF1">
        <w:t xml:space="preserve"> </w:t>
      </w:r>
      <w:proofErr w:type="spellStart"/>
      <w:r w:rsidRPr="00787BF1">
        <w:t>kết</w:t>
      </w:r>
      <w:proofErr w:type="spellEnd"/>
      <w:r w:rsidRPr="00787BF1">
        <w:t xml:space="preserve">, </w:t>
      </w:r>
      <w:proofErr w:type="spellStart"/>
      <w:r w:rsidRPr="00787BF1">
        <w:t>thực</w:t>
      </w:r>
      <w:proofErr w:type="spellEnd"/>
      <w:r w:rsidRPr="00787BF1">
        <w:t xml:space="preserve"> </w:t>
      </w:r>
      <w:proofErr w:type="spellStart"/>
      <w:r w:rsidRPr="00787BF1">
        <w:t>hiện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chấm</w:t>
      </w:r>
      <w:proofErr w:type="spellEnd"/>
      <w:r w:rsidRPr="00787BF1">
        <w:t xml:space="preserve"> </w:t>
      </w:r>
      <w:proofErr w:type="spellStart"/>
      <w:r w:rsidRPr="00787BF1">
        <w:t>dứt</w:t>
      </w:r>
      <w:proofErr w:type="spellEnd"/>
      <w:r w:rsidRPr="00787BF1">
        <w:t xml:space="preserve"> </w:t>
      </w:r>
      <w:proofErr w:type="spellStart"/>
      <w:r w:rsidRPr="00787BF1">
        <w:t>điều</w:t>
      </w:r>
      <w:proofErr w:type="spellEnd"/>
      <w:r w:rsidRPr="00787BF1">
        <w:t xml:space="preserve"> </w:t>
      </w:r>
      <w:proofErr w:type="spellStart"/>
      <w:r w:rsidRPr="00787BF1">
        <w:t>ước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tế</w:t>
      </w:r>
      <w:proofErr w:type="spellEnd"/>
      <w:r w:rsidRPr="00787BF1">
        <w:t>.</w:t>
      </w:r>
      <w:bookmarkEnd w:id="0"/>
    </w:p>
    <w:p w:rsidR="0071101A" w:rsidRPr="00787BF1" w:rsidRDefault="0071101A" w:rsidP="0071101A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LĐƯQT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thỏa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hai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nhiều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-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vậy</w:t>
      </w:r>
      <w:proofErr w:type="spellEnd"/>
      <w:r w:rsidRPr="00787BF1">
        <w:rPr>
          <w:szCs w:val="28"/>
        </w:rPr>
        <w:t xml:space="preserve">, LĐƯQT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hỗ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khoa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LĐƯQT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"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nghiêm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>" (</w:t>
      </w:r>
      <w:proofErr w:type="spellStart"/>
      <w:r w:rsidRPr="00787BF1">
        <w:rPr>
          <w:szCs w:val="28"/>
        </w:rPr>
        <w:t>Pacta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sunt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servanda</w:t>
      </w:r>
      <w:proofErr w:type="spellEnd"/>
      <w:r w:rsidRPr="00787BF1">
        <w:rPr>
          <w:szCs w:val="28"/>
        </w:rPr>
        <w:t xml:space="preserve">).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LĐƯQT </w:t>
      </w:r>
      <w:proofErr w:type="spellStart"/>
      <w:r w:rsidRPr="00787BF1">
        <w:rPr>
          <w:szCs w:val="28"/>
        </w:rPr>
        <w:t>còn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đẳng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chịu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vi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>.</w:t>
      </w:r>
    </w:p>
    <w:p w:rsidR="0071101A" w:rsidRPr="00787BF1" w:rsidRDefault="0071101A" w:rsidP="0071101A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nay,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1969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1986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>. </w:t>
      </w:r>
    </w:p>
    <w:p w:rsidR="0071101A" w:rsidRPr="00787BF1" w:rsidRDefault="0071101A" w:rsidP="0071101A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thoả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nhiều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nhiều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chịu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nhiều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chúng</w:t>
      </w:r>
      <w:proofErr w:type="spellEnd"/>
      <w:r w:rsidRPr="00787BF1">
        <w:rPr>
          <w:szCs w:val="28"/>
        </w:rPr>
        <w:t>. </w:t>
      </w:r>
    </w:p>
    <w:p w:rsidR="0071101A" w:rsidRPr="00787BF1" w:rsidRDefault="0071101A" w:rsidP="0071101A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, do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bởi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thoả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thoả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thoả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chịu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thoả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>.</w:t>
      </w:r>
    </w:p>
    <w:p w:rsidR="0071101A" w:rsidRPr="00787BF1" w:rsidRDefault="0071101A" w:rsidP="0071101A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tên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chưa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giờ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thoả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thấy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ý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rõ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thỏa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ý </w:t>
      </w:r>
      <w:proofErr w:type="spellStart"/>
      <w:r w:rsidRPr="00787BF1">
        <w:rPr>
          <w:szCs w:val="28"/>
        </w:rPr>
        <w:t>chí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tham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>. </w:t>
      </w:r>
    </w:p>
    <w:p w:rsidR="0071101A" w:rsidRPr="00787BF1" w:rsidRDefault="0071101A" w:rsidP="0071101A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thỏa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sinh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thay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lastRenderedPageBreak/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hiệp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thỏa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nhớ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>.</w:t>
      </w:r>
    </w:p>
    <w:p w:rsidR="0071101A" w:rsidRPr="00787BF1" w:rsidRDefault="0071101A" w:rsidP="0071101A">
      <w:pPr>
        <w:spacing w:before="120"/>
        <w:ind w:firstLine="284"/>
        <w:jc w:val="right"/>
        <w:rPr>
          <w:sz w:val="22"/>
        </w:rPr>
      </w:pPr>
      <w:r w:rsidRPr="00787BF1">
        <w:rPr>
          <w:b/>
          <w:bCs/>
          <w:sz w:val="22"/>
        </w:rPr>
        <w:t>ĐINH NGỌC VƯỢNG</w:t>
      </w:r>
    </w:p>
    <w:p w:rsidR="0071101A" w:rsidRPr="00787BF1" w:rsidRDefault="0071101A" w:rsidP="0071101A">
      <w:pPr>
        <w:tabs>
          <w:tab w:val="left" w:pos="567"/>
        </w:tabs>
        <w:spacing w:before="120"/>
        <w:ind w:firstLine="284"/>
        <w:rPr>
          <w:sz w:val="24"/>
          <w:szCs w:val="24"/>
        </w:rPr>
      </w:pPr>
      <w:proofErr w:type="spellStart"/>
      <w:r w:rsidRPr="00787BF1">
        <w:rPr>
          <w:b/>
          <w:bCs/>
          <w:sz w:val="24"/>
          <w:szCs w:val="24"/>
        </w:rPr>
        <w:t>Tài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liệu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tham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khảo</w:t>
      </w:r>
      <w:proofErr w:type="spellEnd"/>
      <w:r w:rsidRPr="00787BF1">
        <w:rPr>
          <w:b/>
          <w:bCs/>
          <w:sz w:val="24"/>
          <w:szCs w:val="24"/>
        </w:rPr>
        <w:t>:</w:t>
      </w:r>
    </w:p>
    <w:p w:rsidR="0071101A" w:rsidRPr="00787BF1" w:rsidRDefault="0071101A" w:rsidP="0071101A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contextualSpacing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Công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ước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Viên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năm</w:t>
      </w:r>
      <w:proofErr w:type="spellEnd"/>
      <w:r w:rsidRPr="00787BF1">
        <w:rPr>
          <w:sz w:val="24"/>
          <w:szCs w:val="24"/>
        </w:rPr>
        <w:t xml:space="preserve"> 1986 </w:t>
      </w:r>
      <w:proofErr w:type="spellStart"/>
      <w:r w:rsidRPr="00787BF1">
        <w:rPr>
          <w:sz w:val="24"/>
          <w:szCs w:val="24"/>
        </w:rPr>
        <w:t>điều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chỉnh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quan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hệ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điều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ước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giữa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một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bên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tổ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chức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bên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hoặc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tổ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chức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>.</w:t>
      </w:r>
    </w:p>
    <w:p w:rsidR="0071101A" w:rsidRPr="00787BF1" w:rsidRDefault="0071101A" w:rsidP="0071101A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contextualSpacing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Công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ước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Viên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năm</w:t>
      </w:r>
      <w:proofErr w:type="spellEnd"/>
      <w:r w:rsidRPr="00787BF1">
        <w:rPr>
          <w:sz w:val="24"/>
          <w:szCs w:val="24"/>
        </w:rPr>
        <w:t xml:space="preserve"> 1969 </w:t>
      </w:r>
      <w:proofErr w:type="spellStart"/>
      <w:r w:rsidRPr="00787BF1">
        <w:rPr>
          <w:sz w:val="24"/>
          <w:szCs w:val="24"/>
        </w:rPr>
        <w:t>về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điều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ước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>.</w:t>
      </w:r>
    </w:p>
    <w:p w:rsidR="0071101A" w:rsidRPr="00787BF1" w:rsidRDefault="0071101A" w:rsidP="0071101A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contextualSpacing/>
        <w:jc w:val="both"/>
        <w:rPr>
          <w:sz w:val="24"/>
          <w:szCs w:val="24"/>
        </w:rPr>
      </w:pPr>
      <w:proofErr w:type="spellStart"/>
      <w:r w:rsidRPr="00787BF1">
        <w:rPr>
          <w:i/>
          <w:iCs/>
          <w:sz w:val="24"/>
          <w:szCs w:val="24"/>
        </w:rPr>
        <w:t>Международное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публичное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право</w:t>
      </w:r>
      <w:proofErr w:type="spellEnd"/>
      <w:r w:rsidRPr="00787BF1">
        <w:rPr>
          <w:sz w:val="24"/>
          <w:szCs w:val="24"/>
        </w:rPr>
        <w:t xml:space="preserve"> (</w:t>
      </w:r>
      <w:proofErr w:type="spellStart"/>
      <w:r w:rsidRPr="00787BF1">
        <w:rPr>
          <w:sz w:val="24"/>
          <w:szCs w:val="24"/>
        </w:rPr>
        <w:t>Отв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ред</w:t>
      </w:r>
      <w:proofErr w:type="spellEnd"/>
      <w:r w:rsidRPr="00787BF1">
        <w:rPr>
          <w:sz w:val="24"/>
          <w:szCs w:val="24"/>
        </w:rPr>
        <w:t xml:space="preserve">. К. А. </w:t>
      </w:r>
      <w:proofErr w:type="spellStart"/>
      <w:r w:rsidRPr="00787BF1">
        <w:rPr>
          <w:sz w:val="24"/>
          <w:szCs w:val="24"/>
        </w:rPr>
        <w:t>Бекяшев</w:t>
      </w:r>
      <w:proofErr w:type="spellEnd"/>
      <w:r w:rsidRPr="00787BF1">
        <w:rPr>
          <w:sz w:val="24"/>
          <w:szCs w:val="24"/>
        </w:rPr>
        <w:t>), М., 2011.</w:t>
      </w:r>
    </w:p>
    <w:p w:rsidR="0071101A" w:rsidRPr="00787BF1" w:rsidRDefault="0071101A" w:rsidP="0071101A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contextualSpacing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Лукашук</w:t>
      </w:r>
      <w:proofErr w:type="spellEnd"/>
      <w:r w:rsidRPr="00787BF1">
        <w:rPr>
          <w:sz w:val="24"/>
          <w:szCs w:val="24"/>
        </w:rPr>
        <w:t xml:space="preserve"> И. И., </w:t>
      </w:r>
      <w:proofErr w:type="spellStart"/>
      <w:r w:rsidRPr="00787BF1">
        <w:rPr>
          <w:i/>
          <w:iCs/>
          <w:sz w:val="24"/>
          <w:szCs w:val="24"/>
        </w:rPr>
        <w:t>Современное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право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международных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договоров</w:t>
      </w:r>
      <w:proofErr w:type="spellEnd"/>
      <w:r w:rsidRPr="00787BF1">
        <w:rPr>
          <w:sz w:val="24"/>
          <w:szCs w:val="24"/>
        </w:rPr>
        <w:t>, М., 2004–2006. Т. 1–2.</w:t>
      </w:r>
    </w:p>
    <w:p w:rsidR="0071101A" w:rsidRPr="00787BF1" w:rsidRDefault="0071101A" w:rsidP="0071101A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contextualSpacing/>
        <w:jc w:val="both"/>
        <w:rPr>
          <w:sz w:val="24"/>
          <w:szCs w:val="24"/>
        </w:rPr>
      </w:pPr>
      <w:proofErr w:type="spellStart"/>
      <w:r w:rsidRPr="00787BF1">
        <w:rPr>
          <w:i/>
          <w:iCs/>
          <w:sz w:val="24"/>
          <w:szCs w:val="24"/>
        </w:rPr>
        <w:t>Право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международных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договоров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Большая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российская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энциклопедия</w:t>
      </w:r>
      <w:proofErr w:type="spellEnd"/>
      <w:r w:rsidRPr="00787BF1">
        <w:rPr>
          <w:sz w:val="24"/>
          <w:szCs w:val="24"/>
        </w:rPr>
        <w:t xml:space="preserve"> - </w:t>
      </w:r>
      <w:proofErr w:type="spellStart"/>
      <w:r w:rsidRPr="00787BF1">
        <w:rPr>
          <w:sz w:val="24"/>
          <w:szCs w:val="24"/>
        </w:rPr>
        <w:t>электронная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версия</w:t>
      </w:r>
      <w:proofErr w:type="spellEnd"/>
      <w:r w:rsidRPr="00787BF1">
        <w:rPr>
          <w:sz w:val="24"/>
          <w:szCs w:val="24"/>
        </w:rPr>
        <w:t>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71AF3"/>
    <w:multiLevelType w:val="multilevel"/>
    <w:tmpl w:val="BA60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1A"/>
    <w:rsid w:val="001324E1"/>
    <w:rsid w:val="005630BE"/>
    <w:rsid w:val="00666C5C"/>
    <w:rsid w:val="0071101A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0591F-BAF7-4660-B7C3-02A0F687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01A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1101A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71101A"/>
    <w:rPr>
      <w:rFonts w:eastAsia="Calibri"/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2025-12-15T03:54:00Z</dcterms:created>
  <dcterms:modified xsi:type="dcterms:W3CDTF">2025-12-15T03:54:00Z</dcterms:modified>
</cp:coreProperties>
</file>